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856" w:rsidRDefault="00950856" w:rsidP="00950856">
      <w:pPr>
        <w:spacing w:before="120" w:after="0" w:line="240" w:lineRule="auto"/>
        <w:jc w:val="center"/>
        <w:rPr>
          <w:rFonts w:ascii="Arial" w:eastAsia="Arial" w:hAnsi="Arial" w:cs="Arial"/>
          <w:sz w:val="24"/>
          <w:szCs w:val="24"/>
        </w:rPr>
      </w:pPr>
    </w:p>
    <w:p w:rsidR="004C0305" w:rsidRPr="00127E1E" w:rsidRDefault="004C0305" w:rsidP="004C0305">
      <w:pPr>
        <w:spacing w:before="120" w:after="0" w:line="240" w:lineRule="auto"/>
        <w:jc w:val="center"/>
        <w:rPr>
          <w:rFonts w:ascii="Arial" w:eastAsia="Arial" w:hAnsi="Arial" w:cs="Arial"/>
          <w:b/>
          <w:sz w:val="24"/>
          <w:szCs w:val="24"/>
        </w:rPr>
      </w:pPr>
      <w:r w:rsidRPr="00127E1E">
        <w:rPr>
          <w:rFonts w:ascii="Arial" w:eastAsia="Arial" w:hAnsi="Arial" w:cs="Arial"/>
          <w:b/>
          <w:sz w:val="24"/>
          <w:szCs w:val="24"/>
        </w:rPr>
        <w:t xml:space="preserve">UCHWAŁA NR </w:t>
      </w:r>
      <w:r w:rsidR="006668D7">
        <w:rPr>
          <w:rFonts w:ascii="Arial" w:eastAsia="Arial" w:hAnsi="Arial" w:cs="Arial"/>
          <w:b/>
          <w:sz w:val="24"/>
          <w:szCs w:val="24"/>
        </w:rPr>
        <w:t>101</w:t>
      </w:r>
    </w:p>
    <w:p w:rsidR="004C0305" w:rsidRPr="00127E1E" w:rsidRDefault="004C0305" w:rsidP="004C0305">
      <w:pPr>
        <w:spacing w:before="120" w:after="0" w:line="240" w:lineRule="auto"/>
        <w:jc w:val="center"/>
        <w:rPr>
          <w:rFonts w:ascii="Arial" w:eastAsia="Arial" w:hAnsi="Arial" w:cs="Arial"/>
          <w:b/>
          <w:sz w:val="24"/>
          <w:szCs w:val="24"/>
        </w:rPr>
      </w:pPr>
    </w:p>
    <w:p w:rsidR="004C0305" w:rsidRPr="00127E1E" w:rsidRDefault="004C0305" w:rsidP="004C0305">
      <w:pPr>
        <w:ind w:firstLine="720"/>
        <w:jc w:val="center"/>
        <w:rPr>
          <w:rFonts w:ascii="Arial" w:eastAsia="Arial" w:hAnsi="Arial" w:cs="Arial"/>
          <w:b/>
          <w:sz w:val="24"/>
          <w:szCs w:val="24"/>
        </w:rPr>
      </w:pPr>
      <w:r w:rsidRPr="00127E1E">
        <w:rPr>
          <w:rFonts w:ascii="Arial" w:eastAsia="Arial" w:hAnsi="Arial" w:cs="Arial"/>
          <w:b/>
          <w:sz w:val="24"/>
          <w:szCs w:val="24"/>
        </w:rPr>
        <w:t xml:space="preserve">RADY DYDAKTYCZNEJ DLA KIERUNKÓW STUDIÓW </w:t>
      </w:r>
      <w:r w:rsidRPr="00127E1E">
        <w:rPr>
          <w:rFonts w:ascii="Arial" w:hAnsi="Arial" w:cs="Arial"/>
          <w:b/>
          <w:sz w:val="24"/>
          <w:szCs w:val="24"/>
        </w:rPr>
        <w:t>KOMUNIKACJA MIĘDZYKULTUROWA – AZJA I AFRYKA, ORIENTAL STUDIES – INNER ASIA: MONGOLIAN AND TIBETAN STUDIES, ORIENTALISTYKA, ORIENTALISTYKA – AFRYKANISTYKA, ORIENTALISTYKA – ARABISTYKA, ORIENTALISTYKA – EGIPTOLOGIA, ORIENTALISTYKA – HEBRAISTYKA, ORIENTALISTYKA – INDOLOGIA, ORIENTALISTYKA – IRANISTYKA, ORIENTALISTYKA – JAPONISTYKA, ORIENTALISTYKA – KOREANISTYKA, ORIENTALISTYKA – KULTURA WSCHODU STAROŻYTNEGO, ORIENTALISTYKA – MONGOLISTYKA I TYBETOLOGIA, ORIENTALISTYKA – SINOLOGIA, ORIENTALISTYKA – TURKOLOGIA, STUDIA WSCHODNIE</w:t>
      </w:r>
    </w:p>
    <w:p w:rsidR="004C0305" w:rsidRPr="00127E1E" w:rsidRDefault="004C0305" w:rsidP="004C0305">
      <w:pPr>
        <w:spacing w:before="120" w:after="0" w:line="240" w:lineRule="auto"/>
        <w:jc w:val="center"/>
        <w:rPr>
          <w:rFonts w:ascii="Arial" w:eastAsia="Arial" w:hAnsi="Arial" w:cs="Arial"/>
          <w:sz w:val="24"/>
          <w:szCs w:val="24"/>
        </w:rPr>
      </w:pPr>
      <w:proofErr w:type="gramStart"/>
      <w:r w:rsidRPr="00127E1E">
        <w:rPr>
          <w:rFonts w:ascii="Arial" w:eastAsia="Arial" w:hAnsi="Arial" w:cs="Arial"/>
          <w:sz w:val="24"/>
          <w:szCs w:val="24"/>
        </w:rPr>
        <w:t>z</w:t>
      </w:r>
      <w:proofErr w:type="gramEnd"/>
      <w:r w:rsidRPr="00127E1E">
        <w:rPr>
          <w:rFonts w:ascii="Arial" w:eastAsia="Arial" w:hAnsi="Arial" w:cs="Arial"/>
          <w:sz w:val="24"/>
          <w:szCs w:val="24"/>
        </w:rPr>
        <w:t xml:space="preserve"> dnia </w:t>
      </w:r>
      <w:r w:rsidR="007479A0">
        <w:rPr>
          <w:rFonts w:ascii="Arial" w:eastAsia="Arial" w:hAnsi="Arial" w:cs="Arial"/>
          <w:sz w:val="24"/>
          <w:szCs w:val="24"/>
        </w:rPr>
        <w:t>0</w:t>
      </w:r>
      <w:r w:rsidR="00A016D8">
        <w:rPr>
          <w:rFonts w:ascii="Arial" w:eastAsia="Arial" w:hAnsi="Arial" w:cs="Arial"/>
          <w:sz w:val="24"/>
          <w:szCs w:val="24"/>
        </w:rPr>
        <w:t>4</w:t>
      </w:r>
      <w:r w:rsidR="007479A0">
        <w:rPr>
          <w:rFonts w:ascii="Arial" w:eastAsia="Arial" w:hAnsi="Arial" w:cs="Arial"/>
          <w:sz w:val="24"/>
          <w:szCs w:val="24"/>
        </w:rPr>
        <w:t xml:space="preserve"> grudnia</w:t>
      </w:r>
      <w:r w:rsidRPr="00127E1E">
        <w:rPr>
          <w:rFonts w:ascii="Arial" w:eastAsia="Arial" w:hAnsi="Arial" w:cs="Arial"/>
          <w:sz w:val="24"/>
          <w:szCs w:val="24"/>
        </w:rPr>
        <w:t xml:space="preserve"> 2020 r.</w:t>
      </w:r>
    </w:p>
    <w:p w:rsidR="004C0305" w:rsidRPr="00127E1E" w:rsidRDefault="004C0305" w:rsidP="004C0305">
      <w:pPr>
        <w:spacing w:before="120" w:after="0" w:line="240" w:lineRule="auto"/>
        <w:jc w:val="center"/>
        <w:rPr>
          <w:rFonts w:ascii="Arial" w:eastAsia="Arial" w:hAnsi="Arial" w:cs="Arial"/>
          <w:sz w:val="24"/>
          <w:szCs w:val="24"/>
        </w:rPr>
      </w:pPr>
      <w:proofErr w:type="gramStart"/>
      <w:r w:rsidRPr="00127E1E">
        <w:rPr>
          <w:rFonts w:ascii="Arial" w:eastAsia="Arial" w:hAnsi="Arial" w:cs="Arial"/>
          <w:b/>
          <w:sz w:val="24"/>
          <w:szCs w:val="24"/>
        </w:rPr>
        <w:t>w</w:t>
      </w:r>
      <w:proofErr w:type="gramEnd"/>
      <w:r w:rsidRPr="00127E1E">
        <w:rPr>
          <w:rFonts w:ascii="Arial" w:eastAsia="Arial" w:hAnsi="Arial" w:cs="Arial"/>
          <w:b/>
          <w:sz w:val="24"/>
          <w:szCs w:val="24"/>
        </w:rPr>
        <w:t xml:space="preserve"> sprawie </w:t>
      </w:r>
      <w:r w:rsidRPr="00127E1E">
        <w:rPr>
          <w:rFonts w:ascii="Arial" w:hAnsi="Arial" w:cs="Arial"/>
          <w:b/>
          <w:sz w:val="24"/>
          <w:szCs w:val="24"/>
        </w:rPr>
        <w:t>przeprowadzania egzaminów i oceniania</w:t>
      </w:r>
      <w:r w:rsidRPr="00127E1E">
        <w:rPr>
          <w:rFonts w:ascii="Arial" w:eastAsia="Arial" w:hAnsi="Arial" w:cs="Arial"/>
          <w:b/>
          <w:sz w:val="24"/>
          <w:szCs w:val="24"/>
        </w:rPr>
        <w:t xml:space="preserve"> na kierunku orientalistyka</w:t>
      </w:r>
      <w:r w:rsidR="006668D7">
        <w:rPr>
          <w:rFonts w:ascii="Arial" w:eastAsia="Arial" w:hAnsi="Arial" w:cs="Arial"/>
          <w:b/>
          <w:sz w:val="24"/>
          <w:szCs w:val="24"/>
        </w:rPr>
        <w:t xml:space="preserve"> afrykanistyka</w:t>
      </w:r>
    </w:p>
    <w:p w:rsidR="004C0305" w:rsidRPr="00127E1E" w:rsidRDefault="004C0305" w:rsidP="004C0305">
      <w:pPr>
        <w:spacing w:before="120" w:after="0" w:line="240" w:lineRule="auto"/>
        <w:jc w:val="center"/>
        <w:rPr>
          <w:rFonts w:ascii="Arial" w:eastAsia="Arial" w:hAnsi="Arial" w:cs="Arial"/>
          <w:sz w:val="24"/>
          <w:szCs w:val="24"/>
        </w:rPr>
      </w:pPr>
    </w:p>
    <w:p w:rsidR="004C0305" w:rsidRPr="00127E1E" w:rsidRDefault="004C0305" w:rsidP="004C0305">
      <w:pPr>
        <w:spacing w:after="240" w:line="240" w:lineRule="auto"/>
        <w:ind w:firstLine="708"/>
        <w:jc w:val="both"/>
        <w:rPr>
          <w:rFonts w:ascii="Arial" w:hAnsi="Arial" w:cs="Arial"/>
          <w:sz w:val="24"/>
          <w:szCs w:val="24"/>
          <w:lang w:eastAsia="pl-PL"/>
        </w:rPr>
      </w:pPr>
      <w:r w:rsidRPr="00127E1E">
        <w:rPr>
          <w:rFonts w:ascii="Arial" w:hAnsi="Arial" w:cs="Arial"/>
          <w:sz w:val="24"/>
          <w:szCs w:val="24"/>
          <w:lang w:eastAsia="pl-PL"/>
        </w:rPr>
        <w:t>Na podstawie § 68 ust. 2 Statutu Uniwersytetu Warszawskiego (Monitor UW</w:t>
      </w:r>
      <w:r w:rsidRPr="00127E1E">
        <w:rPr>
          <w:rFonts w:ascii="Arial" w:hAnsi="Arial" w:cs="Arial"/>
          <w:sz w:val="24"/>
          <w:szCs w:val="24"/>
          <w:lang w:eastAsia="pl-PL"/>
        </w:rPr>
        <w:br/>
        <w:t>z 2019 r. poz. 190) rada dydaktyczna postanawia, co następuje:</w:t>
      </w:r>
    </w:p>
    <w:p w:rsidR="004C0305" w:rsidRPr="00127E1E" w:rsidRDefault="004C0305" w:rsidP="004C0305">
      <w:pPr>
        <w:jc w:val="center"/>
        <w:rPr>
          <w:rFonts w:ascii="Arial" w:hAnsi="Arial" w:cs="Arial"/>
          <w:sz w:val="24"/>
          <w:szCs w:val="24"/>
        </w:rPr>
      </w:pPr>
      <w:r w:rsidRPr="00127E1E">
        <w:rPr>
          <w:rFonts w:ascii="Arial" w:hAnsi="Arial" w:cs="Arial"/>
          <w:sz w:val="24"/>
          <w:szCs w:val="24"/>
        </w:rPr>
        <w:t>§ 1</w:t>
      </w:r>
    </w:p>
    <w:p w:rsidR="004C0305" w:rsidRPr="00127E1E" w:rsidRDefault="004C0305" w:rsidP="004C0305">
      <w:pPr>
        <w:jc w:val="both"/>
        <w:rPr>
          <w:rFonts w:ascii="Arial" w:hAnsi="Arial" w:cs="Arial"/>
          <w:sz w:val="24"/>
          <w:szCs w:val="24"/>
        </w:rPr>
      </w:pPr>
      <w:r w:rsidRPr="00127E1E">
        <w:rPr>
          <w:rFonts w:ascii="Arial" w:hAnsi="Arial" w:cs="Arial"/>
          <w:sz w:val="24"/>
          <w:szCs w:val="24"/>
        </w:rPr>
        <w:t xml:space="preserve">Egzaminy i inne formy weryfikacji efektów uczenia się prowadzące do wystawienia studentowi oceny powinny przebiegać w atmosferze poszanowania godności wszystkich osób zaangażowanych. </w:t>
      </w:r>
    </w:p>
    <w:p w:rsidR="004C0305" w:rsidRPr="00127E1E" w:rsidRDefault="004C0305" w:rsidP="004C0305">
      <w:pPr>
        <w:jc w:val="center"/>
        <w:rPr>
          <w:rFonts w:ascii="Arial" w:hAnsi="Arial" w:cs="Arial"/>
          <w:b/>
          <w:sz w:val="24"/>
          <w:szCs w:val="24"/>
        </w:rPr>
      </w:pPr>
      <w:r w:rsidRPr="00127E1E">
        <w:rPr>
          <w:rFonts w:ascii="Arial" w:hAnsi="Arial" w:cs="Arial"/>
          <w:b/>
          <w:sz w:val="24"/>
          <w:szCs w:val="24"/>
        </w:rPr>
        <w:t>Ramowe zasady przeprowadzania zaliczeń zajęć i egzaminów</w:t>
      </w:r>
    </w:p>
    <w:p w:rsidR="004C0305" w:rsidRPr="00127E1E" w:rsidRDefault="004C0305" w:rsidP="004C0305">
      <w:pPr>
        <w:jc w:val="center"/>
        <w:rPr>
          <w:rFonts w:ascii="Arial" w:hAnsi="Arial" w:cs="Arial"/>
          <w:sz w:val="24"/>
          <w:szCs w:val="24"/>
        </w:rPr>
      </w:pPr>
      <w:r w:rsidRPr="00127E1E">
        <w:rPr>
          <w:rFonts w:ascii="Arial" w:hAnsi="Arial" w:cs="Arial"/>
          <w:sz w:val="24"/>
          <w:szCs w:val="24"/>
        </w:rPr>
        <w:t xml:space="preserve">§ 2 </w:t>
      </w:r>
    </w:p>
    <w:p w:rsidR="004C0305" w:rsidRPr="00127E1E" w:rsidRDefault="004C0305" w:rsidP="007479A0">
      <w:pPr>
        <w:pStyle w:val="ListParagraph"/>
        <w:numPr>
          <w:ilvl w:val="0"/>
          <w:numId w:val="4"/>
        </w:numPr>
        <w:ind w:left="426"/>
        <w:jc w:val="both"/>
        <w:rPr>
          <w:rFonts w:ascii="Arial" w:hAnsi="Arial" w:cs="Arial"/>
          <w:sz w:val="24"/>
          <w:szCs w:val="24"/>
        </w:rPr>
      </w:pPr>
      <w:r w:rsidRPr="00127E1E">
        <w:rPr>
          <w:rFonts w:ascii="Arial" w:hAnsi="Arial" w:cs="Arial"/>
          <w:sz w:val="24"/>
          <w:szCs w:val="24"/>
        </w:rPr>
        <w:t>Szczegółowy opis metod weryfikacji efektów uczenia się stosowanych podczas zajęć oraz w celu ich zaliczenia, kryteriów oceniania i zasad przeprowadzenia zaliczeń i egzaminów zawiera sylabus przedmiotu.</w:t>
      </w:r>
    </w:p>
    <w:p w:rsidR="004C0305" w:rsidRPr="00127E1E" w:rsidRDefault="004C0305" w:rsidP="007479A0">
      <w:pPr>
        <w:pStyle w:val="ListParagraph"/>
        <w:ind w:left="426"/>
        <w:jc w:val="both"/>
        <w:rPr>
          <w:rFonts w:ascii="Arial" w:hAnsi="Arial" w:cs="Arial"/>
          <w:sz w:val="24"/>
          <w:szCs w:val="24"/>
        </w:rPr>
      </w:pPr>
    </w:p>
    <w:p w:rsidR="004C0305" w:rsidRPr="00127E1E" w:rsidRDefault="004C0305" w:rsidP="007479A0">
      <w:pPr>
        <w:pStyle w:val="ListParagraph"/>
        <w:numPr>
          <w:ilvl w:val="0"/>
          <w:numId w:val="4"/>
        </w:numPr>
        <w:ind w:left="426"/>
        <w:jc w:val="both"/>
        <w:rPr>
          <w:rFonts w:ascii="Arial" w:hAnsi="Arial" w:cs="Arial"/>
          <w:sz w:val="24"/>
          <w:szCs w:val="24"/>
        </w:rPr>
      </w:pPr>
      <w:r w:rsidRPr="00127E1E">
        <w:rPr>
          <w:rFonts w:ascii="Arial" w:hAnsi="Arial" w:cs="Arial"/>
          <w:sz w:val="24"/>
          <w:szCs w:val="24"/>
        </w:rPr>
        <w:t>Każdorazowo egzaminatorem lub przeprowadzającym zaliczenie jest prowadzący zajęcia lub koordynator i</w:t>
      </w:r>
      <w:r w:rsidR="00A016D8">
        <w:rPr>
          <w:rFonts w:ascii="Arial" w:hAnsi="Arial" w:cs="Arial"/>
          <w:sz w:val="24"/>
          <w:szCs w:val="24"/>
        </w:rPr>
        <w:t>/lub</w:t>
      </w:r>
      <w:r w:rsidRPr="00127E1E">
        <w:rPr>
          <w:rFonts w:ascii="Arial" w:hAnsi="Arial" w:cs="Arial"/>
          <w:sz w:val="24"/>
          <w:szCs w:val="24"/>
        </w:rPr>
        <w:t xml:space="preserve"> wskazani przez niego prowadzący, jeśli przedmiot prowadzi więcej osób, z zastrzeżeniem § 24 ust. 2 Regulaminu Studiów.</w:t>
      </w:r>
    </w:p>
    <w:p w:rsidR="004C0305" w:rsidRPr="00127E1E" w:rsidRDefault="004C0305" w:rsidP="007479A0">
      <w:pPr>
        <w:pStyle w:val="ListParagraph"/>
        <w:ind w:left="426"/>
        <w:jc w:val="both"/>
        <w:rPr>
          <w:rFonts w:ascii="Arial" w:hAnsi="Arial" w:cs="Arial"/>
          <w:sz w:val="24"/>
          <w:szCs w:val="24"/>
        </w:rPr>
      </w:pPr>
    </w:p>
    <w:p w:rsidR="004C0305" w:rsidRPr="00127E1E" w:rsidRDefault="004C0305" w:rsidP="007479A0">
      <w:pPr>
        <w:pStyle w:val="ListParagraph"/>
        <w:numPr>
          <w:ilvl w:val="0"/>
          <w:numId w:val="4"/>
        </w:numPr>
        <w:ind w:left="426"/>
        <w:jc w:val="both"/>
        <w:rPr>
          <w:rFonts w:ascii="Arial" w:hAnsi="Arial" w:cs="Arial"/>
          <w:sz w:val="24"/>
          <w:szCs w:val="24"/>
        </w:rPr>
      </w:pPr>
      <w:r w:rsidRPr="00127E1E">
        <w:rPr>
          <w:rFonts w:ascii="Arial" w:hAnsi="Arial" w:cs="Arial"/>
          <w:sz w:val="24"/>
          <w:szCs w:val="24"/>
        </w:rPr>
        <w:t>Najpóźniej na miesiąc przed rozpoczęciem głównej sesji egzaminacyjnej koordynator przedmiotu, przeprowadzający zaliczenie dla przedmi</w:t>
      </w:r>
      <w:r w:rsidR="00A016D8">
        <w:rPr>
          <w:rFonts w:ascii="Arial" w:hAnsi="Arial" w:cs="Arial"/>
          <w:sz w:val="24"/>
          <w:szCs w:val="24"/>
        </w:rPr>
        <w:t>otu niekończącego się egzaminem</w:t>
      </w:r>
      <w:r w:rsidRPr="00127E1E">
        <w:rPr>
          <w:rFonts w:ascii="Arial" w:hAnsi="Arial" w:cs="Arial"/>
          <w:sz w:val="24"/>
          <w:szCs w:val="24"/>
        </w:rPr>
        <w:t xml:space="preserve"> lub egzaminator informuje studentów o szczegółowej organizacji egzaminu lub zaliczenia, w szczególności o:</w:t>
      </w:r>
    </w:p>
    <w:p w:rsidR="004C0305" w:rsidRPr="00127E1E" w:rsidRDefault="004C0305" w:rsidP="007479A0">
      <w:pPr>
        <w:pStyle w:val="ListParagraph"/>
        <w:numPr>
          <w:ilvl w:val="1"/>
          <w:numId w:val="4"/>
        </w:numPr>
        <w:ind w:left="426"/>
        <w:jc w:val="both"/>
        <w:rPr>
          <w:rFonts w:ascii="Arial" w:hAnsi="Arial" w:cs="Arial"/>
          <w:sz w:val="24"/>
          <w:szCs w:val="24"/>
        </w:rPr>
      </w:pPr>
      <w:proofErr w:type="gramStart"/>
      <w:r w:rsidRPr="00127E1E">
        <w:rPr>
          <w:rFonts w:ascii="Arial" w:hAnsi="Arial" w:cs="Arial"/>
          <w:sz w:val="24"/>
          <w:szCs w:val="24"/>
        </w:rPr>
        <w:t>procedurze</w:t>
      </w:r>
      <w:proofErr w:type="gramEnd"/>
      <w:r w:rsidRPr="00127E1E">
        <w:rPr>
          <w:rFonts w:ascii="Arial" w:hAnsi="Arial" w:cs="Arial"/>
          <w:sz w:val="24"/>
          <w:szCs w:val="24"/>
        </w:rPr>
        <w:t xml:space="preserve"> przeprowadzenia egzaminu lub zaliczenia,</w:t>
      </w:r>
    </w:p>
    <w:p w:rsidR="004C0305" w:rsidRPr="00127E1E" w:rsidRDefault="004C0305" w:rsidP="007479A0">
      <w:pPr>
        <w:pStyle w:val="ListParagraph"/>
        <w:numPr>
          <w:ilvl w:val="1"/>
          <w:numId w:val="4"/>
        </w:numPr>
        <w:ind w:left="426"/>
        <w:jc w:val="both"/>
        <w:rPr>
          <w:rFonts w:ascii="Arial" w:hAnsi="Arial" w:cs="Arial"/>
          <w:sz w:val="24"/>
          <w:szCs w:val="24"/>
        </w:rPr>
      </w:pPr>
      <w:proofErr w:type="gramStart"/>
      <w:r w:rsidRPr="00127E1E">
        <w:rPr>
          <w:rFonts w:ascii="Arial" w:hAnsi="Arial" w:cs="Arial"/>
          <w:sz w:val="24"/>
          <w:szCs w:val="24"/>
        </w:rPr>
        <w:t>egzaminatorze</w:t>
      </w:r>
      <w:proofErr w:type="gramEnd"/>
      <w:r w:rsidRPr="00127E1E">
        <w:rPr>
          <w:rFonts w:ascii="Arial" w:hAnsi="Arial" w:cs="Arial"/>
          <w:sz w:val="24"/>
          <w:szCs w:val="24"/>
        </w:rPr>
        <w:t xml:space="preserve"> lub egzaminatorach,</w:t>
      </w:r>
    </w:p>
    <w:p w:rsidR="004C0305" w:rsidRPr="00127E1E" w:rsidRDefault="004C0305" w:rsidP="007479A0">
      <w:pPr>
        <w:pStyle w:val="ListParagraph"/>
        <w:numPr>
          <w:ilvl w:val="1"/>
          <w:numId w:val="4"/>
        </w:numPr>
        <w:ind w:left="426"/>
        <w:jc w:val="both"/>
        <w:rPr>
          <w:rFonts w:ascii="Arial" w:hAnsi="Arial" w:cs="Arial"/>
          <w:sz w:val="24"/>
          <w:szCs w:val="24"/>
        </w:rPr>
      </w:pPr>
      <w:proofErr w:type="gramStart"/>
      <w:r w:rsidRPr="00127E1E">
        <w:rPr>
          <w:rFonts w:ascii="Arial" w:hAnsi="Arial" w:cs="Arial"/>
          <w:sz w:val="24"/>
          <w:szCs w:val="24"/>
        </w:rPr>
        <w:lastRenderedPageBreak/>
        <w:t>ewentualnej</w:t>
      </w:r>
      <w:proofErr w:type="gramEnd"/>
      <w:r w:rsidRPr="00127E1E">
        <w:rPr>
          <w:rFonts w:ascii="Arial" w:hAnsi="Arial" w:cs="Arial"/>
          <w:sz w:val="24"/>
          <w:szCs w:val="24"/>
        </w:rPr>
        <w:t xml:space="preserve"> obecności podczas egzaminu osób innych niż egzaminator oraz o zadaniach wykonywanych przez te osoby podczas egzaminu.</w:t>
      </w:r>
    </w:p>
    <w:p w:rsidR="004C0305" w:rsidRPr="00127E1E" w:rsidRDefault="004C0305" w:rsidP="007479A0">
      <w:pPr>
        <w:ind w:left="426"/>
        <w:jc w:val="both"/>
        <w:rPr>
          <w:rFonts w:ascii="Arial" w:hAnsi="Arial" w:cs="Arial"/>
          <w:sz w:val="24"/>
          <w:szCs w:val="24"/>
        </w:rPr>
      </w:pPr>
    </w:p>
    <w:p w:rsidR="004C0305" w:rsidRPr="00127E1E" w:rsidRDefault="004C0305" w:rsidP="007479A0">
      <w:pPr>
        <w:pStyle w:val="ListParagraph"/>
        <w:numPr>
          <w:ilvl w:val="0"/>
          <w:numId w:val="4"/>
        </w:numPr>
        <w:ind w:left="426"/>
        <w:jc w:val="both"/>
        <w:rPr>
          <w:rFonts w:ascii="Arial" w:hAnsi="Arial" w:cs="Arial"/>
          <w:sz w:val="24"/>
          <w:szCs w:val="24"/>
        </w:rPr>
      </w:pPr>
      <w:r w:rsidRPr="00127E1E">
        <w:rPr>
          <w:rFonts w:ascii="Arial" w:hAnsi="Arial" w:cs="Arial"/>
          <w:sz w:val="24"/>
          <w:szCs w:val="24"/>
        </w:rPr>
        <w:t>KJD może powołać obserwatora całego lub części egzaminu lub zaliczenia weryfikującego efekty uczenia się określonego studenta lub całej grupy na wniosek przeprowadzającego zaliczenie lub egzamin, studenta lub grupy studentów albo kierownika jednostki; obserwator nie bierze czynnego udziału w przeprowadzeniu egzaminu, w szczególności, nie zadaje pytań podczas egzaminu.</w:t>
      </w:r>
    </w:p>
    <w:p w:rsidR="004C0305" w:rsidRPr="00127E1E" w:rsidRDefault="004C0305" w:rsidP="007479A0">
      <w:pPr>
        <w:pStyle w:val="ListParagraph"/>
        <w:ind w:left="426"/>
        <w:jc w:val="both"/>
        <w:rPr>
          <w:rFonts w:ascii="Arial" w:hAnsi="Arial" w:cs="Arial"/>
          <w:sz w:val="24"/>
          <w:szCs w:val="24"/>
        </w:rPr>
      </w:pPr>
    </w:p>
    <w:p w:rsidR="004C0305" w:rsidRPr="00127E1E" w:rsidRDefault="00A016D8" w:rsidP="007479A0">
      <w:pPr>
        <w:pStyle w:val="ListParagraph"/>
        <w:numPr>
          <w:ilvl w:val="0"/>
          <w:numId w:val="4"/>
        </w:numPr>
        <w:ind w:left="426"/>
        <w:jc w:val="both"/>
        <w:rPr>
          <w:rFonts w:ascii="Arial" w:hAnsi="Arial" w:cs="Arial"/>
          <w:sz w:val="24"/>
          <w:szCs w:val="24"/>
        </w:rPr>
      </w:pPr>
      <w:r>
        <w:rPr>
          <w:rFonts w:ascii="Arial" w:hAnsi="Arial" w:cs="Arial"/>
          <w:sz w:val="24"/>
          <w:szCs w:val="24"/>
        </w:rPr>
        <w:t>Pisemne prace egzaminacyjne i zaliczeniowe</w:t>
      </w:r>
      <w:r w:rsidR="004C0305" w:rsidRPr="00127E1E">
        <w:rPr>
          <w:rFonts w:ascii="Arial" w:hAnsi="Arial" w:cs="Arial"/>
          <w:sz w:val="24"/>
          <w:szCs w:val="24"/>
        </w:rPr>
        <w:t xml:space="preserve"> oraz protokoły egzaminów i zaliczeń ustnych w USOS-web archiwizowane są przez okres trwania studiów oraz 5 lat po ich zakończeniu w formie papierowej lub elektronicznej. </w:t>
      </w:r>
    </w:p>
    <w:p w:rsidR="004C0305" w:rsidRPr="00127E1E" w:rsidRDefault="004C0305" w:rsidP="007479A0">
      <w:pPr>
        <w:ind w:left="426"/>
        <w:jc w:val="both"/>
        <w:rPr>
          <w:rFonts w:ascii="Arial" w:hAnsi="Arial" w:cs="Arial"/>
          <w:sz w:val="24"/>
          <w:szCs w:val="24"/>
        </w:rPr>
      </w:pPr>
    </w:p>
    <w:p w:rsidR="004C0305" w:rsidRPr="00127E1E" w:rsidRDefault="004C0305" w:rsidP="007479A0">
      <w:pPr>
        <w:pStyle w:val="ListParagraph"/>
        <w:numPr>
          <w:ilvl w:val="0"/>
          <w:numId w:val="4"/>
        </w:numPr>
        <w:ind w:left="426"/>
        <w:jc w:val="both"/>
        <w:rPr>
          <w:rFonts w:ascii="Arial" w:hAnsi="Arial" w:cs="Arial"/>
          <w:sz w:val="24"/>
          <w:szCs w:val="24"/>
        </w:rPr>
      </w:pPr>
      <w:r w:rsidRPr="00127E1E">
        <w:rPr>
          <w:rFonts w:ascii="Arial" w:hAnsi="Arial" w:cs="Arial"/>
          <w:sz w:val="24"/>
          <w:szCs w:val="24"/>
        </w:rPr>
        <w:t>Po przeprowadzeniu egzaminu lub zaliczenia ustnego egzaminator informuje studenta o uzyskanej ocenie wraz z uzasadnieniem. Na wniosek studenta informacja o ocenie wraz z uzasadnieniem może zostać podana bez udziału osób trzecich. Jeżeli jest obecnych kilka osób</w:t>
      </w:r>
      <w:r w:rsidR="00A016D8">
        <w:rPr>
          <w:rFonts w:ascii="Arial" w:hAnsi="Arial" w:cs="Arial"/>
          <w:sz w:val="24"/>
          <w:szCs w:val="24"/>
        </w:rPr>
        <w:t>,</w:t>
      </w:r>
      <w:r w:rsidRPr="00127E1E">
        <w:rPr>
          <w:rFonts w:ascii="Arial" w:hAnsi="Arial" w:cs="Arial"/>
          <w:sz w:val="24"/>
          <w:szCs w:val="24"/>
        </w:rPr>
        <w:t xml:space="preserve"> istnieje możliwość podania oceny indywidualnie. Egzaminator wprowadza oceny do USOS niezwłocznie, ale nie później niż w ciągu dwóch tygodni po egzaminie lub zaliczeniu.</w:t>
      </w:r>
    </w:p>
    <w:p w:rsidR="004C0305" w:rsidRPr="00127E1E" w:rsidRDefault="004C0305" w:rsidP="004C0305">
      <w:pPr>
        <w:jc w:val="both"/>
        <w:rPr>
          <w:rFonts w:ascii="Arial" w:hAnsi="Arial" w:cs="Arial"/>
          <w:sz w:val="24"/>
          <w:szCs w:val="24"/>
        </w:rPr>
      </w:pPr>
    </w:p>
    <w:p w:rsidR="00015E28" w:rsidRPr="001066ED" w:rsidRDefault="00015E28" w:rsidP="00015E28">
      <w:pPr>
        <w:pStyle w:val="Tre"/>
        <w:spacing w:after="0" w:line="276" w:lineRule="auto"/>
        <w:jc w:val="center"/>
        <w:rPr>
          <w:rFonts w:ascii="Arial" w:hAnsi="Arial" w:cs="Arial"/>
          <w:sz w:val="24"/>
          <w:szCs w:val="24"/>
        </w:rPr>
      </w:pPr>
      <w:r w:rsidRPr="001066ED">
        <w:rPr>
          <w:rFonts w:ascii="Arial" w:hAnsi="Arial" w:cs="Arial"/>
          <w:sz w:val="24"/>
          <w:szCs w:val="24"/>
        </w:rPr>
        <w:t>§ 3</w:t>
      </w:r>
    </w:p>
    <w:p w:rsidR="00015E28" w:rsidRDefault="00015E28" w:rsidP="00015E28">
      <w:pPr>
        <w:pStyle w:val="ListParagraph"/>
        <w:numPr>
          <w:ilvl w:val="0"/>
          <w:numId w:val="5"/>
        </w:numPr>
        <w:pBdr>
          <w:top w:val="nil"/>
          <w:left w:val="nil"/>
          <w:bottom w:val="nil"/>
          <w:right w:val="nil"/>
          <w:between w:val="nil"/>
          <w:bar w:val="nil"/>
        </w:pBdr>
        <w:spacing w:after="0" w:line="276" w:lineRule="auto"/>
        <w:ind w:left="426" w:hanging="426"/>
        <w:contextualSpacing w:val="0"/>
        <w:rPr>
          <w:rFonts w:ascii="Arial" w:hAnsi="Arial" w:cs="Arial"/>
          <w:sz w:val="24"/>
          <w:szCs w:val="24"/>
        </w:rPr>
      </w:pPr>
      <w:r w:rsidRPr="001066ED">
        <w:rPr>
          <w:rFonts w:ascii="Arial" w:hAnsi="Arial" w:cs="Arial"/>
          <w:sz w:val="24"/>
          <w:szCs w:val="24"/>
        </w:rPr>
        <w:t xml:space="preserve">Student, który uzyskał w głównej sesji egzaminacyjnej ocenę pozytywną z danego przedmiotu, ma prawo przystąpić ponownie do egzaminu z tego przedmiotu w poprawkowej sesji egzaminacyjnej. Włączenie do listy uczestników egzaminu w sesji poprawkowej następuje na wniosek takiego studenta, przekazany KJD i egzaminatorowi w terminie do 7 dni od czasu ogłoszenia wyników egzaminu w głównej sesji egzaminacyjnej. </w:t>
      </w:r>
    </w:p>
    <w:p w:rsidR="00015E28" w:rsidRDefault="00015E28" w:rsidP="00015E28">
      <w:pPr>
        <w:pStyle w:val="ListParagraph"/>
        <w:pBdr>
          <w:top w:val="nil"/>
          <w:left w:val="nil"/>
          <w:bottom w:val="nil"/>
          <w:right w:val="nil"/>
          <w:between w:val="nil"/>
          <w:bar w:val="nil"/>
        </w:pBdr>
        <w:spacing w:after="0" w:line="276" w:lineRule="auto"/>
        <w:ind w:left="426"/>
        <w:contextualSpacing w:val="0"/>
        <w:rPr>
          <w:rFonts w:ascii="Arial" w:hAnsi="Arial" w:cs="Arial"/>
          <w:sz w:val="24"/>
          <w:szCs w:val="24"/>
        </w:rPr>
      </w:pPr>
    </w:p>
    <w:p w:rsidR="00015E28" w:rsidRDefault="00015E28" w:rsidP="00015E28">
      <w:pPr>
        <w:pStyle w:val="ListParagraph"/>
        <w:numPr>
          <w:ilvl w:val="0"/>
          <w:numId w:val="5"/>
        </w:numPr>
        <w:pBdr>
          <w:top w:val="nil"/>
          <w:left w:val="nil"/>
          <w:bottom w:val="nil"/>
          <w:right w:val="nil"/>
          <w:between w:val="nil"/>
          <w:bar w:val="nil"/>
        </w:pBdr>
        <w:spacing w:after="0" w:line="276" w:lineRule="auto"/>
        <w:ind w:left="426" w:hanging="426"/>
        <w:contextualSpacing w:val="0"/>
        <w:rPr>
          <w:rFonts w:ascii="Arial" w:hAnsi="Arial" w:cs="Arial"/>
          <w:sz w:val="24"/>
          <w:szCs w:val="24"/>
        </w:rPr>
      </w:pPr>
      <w:r>
        <w:rPr>
          <w:rFonts w:ascii="Arial" w:hAnsi="Arial" w:cs="Arial"/>
          <w:sz w:val="24"/>
          <w:szCs w:val="24"/>
        </w:rPr>
        <w:t>Ocena ostateczna z przedmiotu jest średnią arytmetyczną obu uzyskanych ocen.</w:t>
      </w:r>
    </w:p>
    <w:p w:rsidR="00015E28" w:rsidRPr="005E5B06" w:rsidRDefault="00015E28" w:rsidP="00015E28">
      <w:pPr>
        <w:pStyle w:val="ListParagraph"/>
        <w:spacing w:after="0" w:line="276" w:lineRule="auto"/>
        <w:rPr>
          <w:rFonts w:ascii="Arial" w:hAnsi="Arial" w:cs="Arial"/>
          <w:sz w:val="24"/>
          <w:szCs w:val="24"/>
        </w:rPr>
      </w:pPr>
    </w:p>
    <w:p w:rsidR="00015E28" w:rsidRDefault="00015E28" w:rsidP="00015E28">
      <w:pPr>
        <w:pStyle w:val="ListParagraph"/>
        <w:numPr>
          <w:ilvl w:val="0"/>
          <w:numId w:val="5"/>
        </w:numPr>
        <w:pBdr>
          <w:top w:val="nil"/>
          <w:left w:val="nil"/>
          <w:bottom w:val="nil"/>
          <w:right w:val="nil"/>
          <w:between w:val="nil"/>
          <w:bar w:val="nil"/>
        </w:pBdr>
        <w:spacing w:after="0" w:line="276" w:lineRule="auto"/>
        <w:ind w:left="426" w:hanging="426"/>
        <w:contextualSpacing w:val="0"/>
        <w:rPr>
          <w:rFonts w:ascii="Arial" w:hAnsi="Arial" w:cs="Arial"/>
          <w:sz w:val="24"/>
          <w:szCs w:val="24"/>
        </w:rPr>
      </w:pPr>
      <w:r w:rsidRPr="001066ED">
        <w:rPr>
          <w:rFonts w:ascii="Arial" w:hAnsi="Arial" w:cs="Arial"/>
          <w:sz w:val="24"/>
          <w:szCs w:val="24"/>
        </w:rPr>
        <w:t>Student ma prawo do poprawiania oceny pozytywnej raz na etap studiów.</w:t>
      </w:r>
    </w:p>
    <w:p w:rsidR="00015E28" w:rsidRPr="001066ED" w:rsidRDefault="00015E28" w:rsidP="00015E28">
      <w:pPr>
        <w:pStyle w:val="ListParagraph"/>
        <w:spacing w:after="0" w:line="276" w:lineRule="auto"/>
        <w:ind w:left="426"/>
        <w:rPr>
          <w:rFonts w:ascii="Arial" w:hAnsi="Arial" w:cs="Arial"/>
          <w:sz w:val="24"/>
          <w:szCs w:val="24"/>
        </w:rPr>
      </w:pPr>
    </w:p>
    <w:p w:rsidR="007479A0" w:rsidRPr="001066ED" w:rsidRDefault="007479A0" w:rsidP="007479A0">
      <w:pPr>
        <w:pStyle w:val="Tre"/>
        <w:spacing w:line="276" w:lineRule="auto"/>
        <w:ind w:left="720"/>
        <w:jc w:val="center"/>
        <w:rPr>
          <w:rFonts w:ascii="Arial" w:eastAsia="Arial" w:hAnsi="Arial" w:cs="Arial"/>
          <w:sz w:val="24"/>
          <w:szCs w:val="24"/>
        </w:rPr>
      </w:pPr>
      <w:bookmarkStart w:id="0" w:name="_GoBack"/>
      <w:bookmarkEnd w:id="0"/>
      <w:r w:rsidRPr="001066ED">
        <w:rPr>
          <w:rFonts w:ascii="Arial" w:hAnsi="Arial" w:cs="Arial"/>
          <w:sz w:val="24"/>
          <w:szCs w:val="24"/>
        </w:rPr>
        <w:t>§ 4</w:t>
      </w:r>
    </w:p>
    <w:p w:rsidR="007479A0" w:rsidRDefault="007479A0" w:rsidP="007479A0">
      <w:pPr>
        <w:pStyle w:val="Tre"/>
        <w:spacing w:line="276" w:lineRule="auto"/>
        <w:jc w:val="both"/>
        <w:rPr>
          <w:rFonts w:ascii="Arial" w:hAnsi="Arial" w:cs="Arial"/>
          <w:sz w:val="24"/>
          <w:szCs w:val="24"/>
        </w:rPr>
      </w:pPr>
      <w:r w:rsidRPr="001066ED">
        <w:rPr>
          <w:rFonts w:ascii="Arial" w:hAnsi="Arial" w:cs="Arial"/>
          <w:sz w:val="24"/>
          <w:szCs w:val="24"/>
        </w:rPr>
        <w:t>W egzaminie ustnym uczestniczą egzaminator lub egzaminatorzy oraz student lub studenci przystępujący do egzaminu, z zastrzeżeniem § 2 pkt 4.</w:t>
      </w:r>
    </w:p>
    <w:p w:rsidR="007479A0" w:rsidRDefault="007479A0" w:rsidP="007479A0">
      <w:pPr>
        <w:pStyle w:val="Tre"/>
        <w:spacing w:line="276" w:lineRule="auto"/>
        <w:jc w:val="both"/>
        <w:rPr>
          <w:rFonts w:ascii="Arial" w:hAnsi="Arial" w:cs="Arial"/>
          <w:sz w:val="24"/>
          <w:szCs w:val="24"/>
        </w:rPr>
      </w:pPr>
    </w:p>
    <w:p w:rsidR="004C0305" w:rsidRPr="00127E1E" w:rsidRDefault="004C0305" w:rsidP="004C0305">
      <w:pPr>
        <w:jc w:val="center"/>
        <w:rPr>
          <w:rFonts w:ascii="Arial" w:hAnsi="Arial" w:cs="Arial"/>
          <w:sz w:val="24"/>
          <w:szCs w:val="24"/>
        </w:rPr>
      </w:pPr>
      <w:r w:rsidRPr="00127E1E">
        <w:rPr>
          <w:rFonts w:ascii="Arial" w:hAnsi="Arial" w:cs="Arial"/>
          <w:sz w:val="24"/>
          <w:szCs w:val="24"/>
        </w:rPr>
        <w:t xml:space="preserve">§ </w:t>
      </w:r>
      <w:r w:rsidR="007479A0">
        <w:rPr>
          <w:rFonts w:ascii="Arial" w:hAnsi="Arial" w:cs="Arial"/>
          <w:sz w:val="24"/>
          <w:szCs w:val="24"/>
        </w:rPr>
        <w:t>5</w:t>
      </w:r>
    </w:p>
    <w:p w:rsidR="004C0305" w:rsidRPr="00127E1E" w:rsidRDefault="004C0305" w:rsidP="007479A0">
      <w:pPr>
        <w:pStyle w:val="ListParagraph"/>
        <w:numPr>
          <w:ilvl w:val="0"/>
          <w:numId w:val="3"/>
        </w:numPr>
        <w:ind w:left="426"/>
        <w:jc w:val="both"/>
        <w:rPr>
          <w:rFonts w:ascii="Arial" w:hAnsi="Arial" w:cs="Arial"/>
          <w:sz w:val="24"/>
          <w:szCs w:val="24"/>
        </w:rPr>
      </w:pPr>
      <w:r w:rsidRPr="00127E1E">
        <w:rPr>
          <w:rFonts w:ascii="Arial" w:hAnsi="Arial" w:cs="Arial"/>
          <w:sz w:val="24"/>
          <w:szCs w:val="24"/>
        </w:rPr>
        <w:t>W przypadku egzaminu lub zaliczenia w formie pisemnej udzielenie przez studenta błędnej odpowiedzi nie powinno być oceniane niżej niż brak odpowiedzi.</w:t>
      </w:r>
    </w:p>
    <w:p w:rsidR="004C0305" w:rsidRPr="00127E1E" w:rsidRDefault="004C0305" w:rsidP="007479A0">
      <w:pPr>
        <w:pStyle w:val="ListParagraph"/>
        <w:ind w:left="426"/>
        <w:jc w:val="both"/>
        <w:rPr>
          <w:rFonts w:ascii="Arial" w:hAnsi="Arial" w:cs="Arial"/>
          <w:sz w:val="24"/>
          <w:szCs w:val="24"/>
        </w:rPr>
      </w:pPr>
    </w:p>
    <w:p w:rsidR="004C0305" w:rsidRPr="00127E1E" w:rsidRDefault="004C0305" w:rsidP="007479A0">
      <w:pPr>
        <w:pStyle w:val="ListParagraph"/>
        <w:numPr>
          <w:ilvl w:val="0"/>
          <w:numId w:val="3"/>
        </w:numPr>
        <w:ind w:left="426"/>
        <w:jc w:val="both"/>
        <w:rPr>
          <w:rFonts w:ascii="Arial" w:hAnsi="Arial" w:cs="Arial"/>
          <w:sz w:val="24"/>
          <w:szCs w:val="24"/>
        </w:rPr>
      </w:pPr>
      <w:r w:rsidRPr="00127E1E">
        <w:rPr>
          <w:rFonts w:ascii="Arial" w:hAnsi="Arial" w:cs="Arial"/>
          <w:sz w:val="24"/>
          <w:szCs w:val="24"/>
        </w:rPr>
        <w:t>Studentowi zapewnia się prawo wglądu do jego pracy zaliczeniowej lub egzaminacyjnej oraz uzasadnienia uzyskanej oceny.</w:t>
      </w:r>
    </w:p>
    <w:p w:rsidR="004C0305" w:rsidRPr="00127E1E" w:rsidRDefault="004C0305" w:rsidP="007479A0">
      <w:pPr>
        <w:pStyle w:val="ListParagraph"/>
        <w:ind w:left="426"/>
        <w:jc w:val="both"/>
        <w:rPr>
          <w:rFonts w:ascii="Arial" w:hAnsi="Arial" w:cs="Arial"/>
          <w:sz w:val="24"/>
          <w:szCs w:val="24"/>
        </w:rPr>
      </w:pPr>
    </w:p>
    <w:p w:rsidR="004C0305" w:rsidRPr="00127E1E" w:rsidRDefault="004C0305" w:rsidP="007479A0">
      <w:pPr>
        <w:pStyle w:val="ListParagraph"/>
        <w:numPr>
          <w:ilvl w:val="0"/>
          <w:numId w:val="3"/>
        </w:numPr>
        <w:ind w:left="426"/>
        <w:jc w:val="both"/>
        <w:rPr>
          <w:rFonts w:ascii="Arial" w:hAnsi="Arial" w:cs="Arial"/>
          <w:sz w:val="24"/>
          <w:szCs w:val="24"/>
        </w:rPr>
      </w:pPr>
      <w:r w:rsidRPr="00127E1E">
        <w:rPr>
          <w:rFonts w:ascii="Arial" w:hAnsi="Arial" w:cs="Arial"/>
          <w:sz w:val="24"/>
          <w:szCs w:val="24"/>
        </w:rPr>
        <w:t>Wgląd do pracy zapewnia się studentowi nie później niż w terminie siedmiu dni od dnia wystawienia oceny. W przypadku egzaminu ustnego uzasadnienie oceny przedstawia się wraz z jej ogłoszeniem.</w:t>
      </w:r>
    </w:p>
    <w:p w:rsidR="004C0305" w:rsidRPr="00127E1E" w:rsidRDefault="004C0305" w:rsidP="007479A0">
      <w:pPr>
        <w:pStyle w:val="ListParagraph"/>
        <w:ind w:left="426"/>
        <w:jc w:val="both"/>
        <w:rPr>
          <w:rFonts w:ascii="Arial" w:hAnsi="Arial" w:cs="Arial"/>
          <w:sz w:val="24"/>
          <w:szCs w:val="24"/>
        </w:rPr>
      </w:pPr>
    </w:p>
    <w:p w:rsidR="004C0305" w:rsidRPr="00127E1E" w:rsidRDefault="004C0305" w:rsidP="007479A0">
      <w:pPr>
        <w:pStyle w:val="ListParagraph"/>
        <w:numPr>
          <w:ilvl w:val="0"/>
          <w:numId w:val="3"/>
        </w:numPr>
        <w:ind w:left="426"/>
        <w:jc w:val="both"/>
        <w:rPr>
          <w:rFonts w:ascii="Arial" w:hAnsi="Arial" w:cs="Arial"/>
          <w:sz w:val="24"/>
          <w:szCs w:val="24"/>
        </w:rPr>
      </w:pPr>
      <w:r w:rsidRPr="00127E1E">
        <w:rPr>
          <w:rFonts w:ascii="Arial" w:hAnsi="Arial" w:cs="Arial"/>
          <w:sz w:val="24"/>
          <w:szCs w:val="24"/>
        </w:rPr>
        <w:t>Jeśli ocena z zaliczenia lub egzaminu pisemnego wynika z otrzymanej przez studenta liczby punktów, student powinien być poinformowany o przyjętej przez egzaminatora ostatecznej skali oceniania, tj. o przedziałach punktowych lub procentowych dla poszczególnych ocen. Skala oceniania nie może prowadzić do wystawienia studentowi oceny niższej niż wynikająca z zasad zaliczenia przedmiotu sformułowanych w sylabusie lub ze szczegółowej organizacji egzaminu lub zaliczenia, o której mowa w § 2 ust. 3.</w:t>
      </w:r>
    </w:p>
    <w:p w:rsidR="004C0305" w:rsidRPr="00127E1E" w:rsidRDefault="004C0305" w:rsidP="007479A0">
      <w:pPr>
        <w:pStyle w:val="ListParagraph"/>
        <w:ind w:left="426"/>
        <w:jc w:val="both"/>
        <w:rPr>
          <w:rFonts w:ascii="Arial" w:hAnsi="Arial" w:cs="Arial"/>
          <w:sz w:val="24"/>
          <w:szCs w:val="24"/>
        </w:rPr>
      </w:pPr>
    </w:p>
    <w:p w:rsidR="004C0305" w:rsidRPr="00127E1E" w:rsidRDefault="004C0305" w:rsidP="007479A0">
      <w:pPr>
        <w:pStyle w:val="ListParagraph"/>
        <w:numPr>
          <w:ilvl w:val="0"/>
          <w:numId w:val="3"/>
        </w:numPr>
        <w:ind w:left="426"/>
        <w:jc w:val="both"/>
        <w:rPr>
          <w:rFonts w:ascii="Arial" w:hAnsi="Arial" w:cs="Arial"/>
          <w:sz w:val="24"/>
          <w:szCs w:val="24"/>
        </w:rPr>
      </w:pPr>
      <w:r w:rsidRPr="00127E1E">
        <w:rPr>
          <w:rFonts w:ascii="Arial" w:hAnsi="Arial" w:cs="Arial"/>
          <w:sz w:val="24"/>
          <w:szCs w:val="24"/>
        </w:rPr>
        <w:t>Niedopełnienie wymagań określonych w ust. 1 i 2 może stanowić podstawę do złożenia przez studenta wniosku o przeprowadzenie egzaminu komisyjnego.</w:t>
      </w:r>
    </w:p>
    <w:p w:rsidR="004C0305" w:rsidRPr="00127E1E" w:rsidRDefault="004C0305" w:rsidP="004C0305">
      <w:pPr>
        <w:pStyle w:val="ListParagraph"/>
        <w:jc w:val="center"/>
        <w:rPr>
          <w:rFonts w:ascii="Arial" w:hAnsi="Arial" w:cs="Arial"/>
          <w:sz w:val="24"/>
          <w:szCs w:val="24"/>
        </w:rPr>
      </w:pPr>
    </w:p>
    <w:p w:rsidR="004C0305" w:rsidRPr="00127E1E" w:rsidRDefault="004C0305" w:rsidP="004C0305">
      <w:pPr>
        <w:pStyle w:val="ListParagraph"/>
        <w:jc w:val="center"/>
        <w:rPr>
          <w:rFonts w:ascii="Arial" w:hAnsi="Arial" w:cs="Arial"/>
          <w:b/>
          <w:sz w:val="24"/>
          <w:szCs w:val="24"/>
        </w:rPr>
      </w:pPr>
      <w:r w:rsidRPr="00127E1E">
        <w:rPr>
          <w:rFonts w:ascii="Arial" w:hAnsi="Arial" w:cs="Arial"/>
          <w:b/>
          <w:sz w:val="24"/>
          <w:szCs w:val="24"/>
        </w:rPr>
        <w:t>Monitorowanie egzaminowania</w:t>
      </w:r>
    </w:p>
    <w:p w:rsidR="004C0305" w:rsidRPr="00127E1E" w:rsidRDefault="004C0305" w:rsidP="004C0305">
      <w:pPr>
        <w:jc w:val="center"/>
        <w:rPr>
          <w:rFonts w:ascii="Arial" w:hAnsi="Arial" w:cs="Arial"/>
          <w:sz w:val="24"/>
          <w:szCs w:val="24"/>
        </w:rPr>
      </w:pPr>
      <w:r w:rsidRPr="00127E1E">
        <w:rPr>
          <w:rFonts w:ascii="Arial" w:hAnsi="Arial" w:cs="Arial"/>
          <w:sz w:val="24"/>
          <w:szCs w:val="24"/>
        </w:rPr>
        <w:t xml:space="preserve">§ 6 </w:t>
      </w:r>
    </w:p>
    <w:p w:rsidR="004C0305" w:rsidRPr="007479A0" w:rsidRDefault="004C0305" w:rsidP="007479A0">
      <w:pPr>
        <w:jc w:val="both"/>
        <w:rPr>
          <w:rFonts w:ascii="Arial" w:hAnsi="Arial" w:cs="Arial"/>
          <w:sz w:val="24"/>
          <w:szCs w:val="24"/>
        </w:rPr>
      </w:pPr>
      <w:r w:rsidRPr="007479A0">
        <w:rPr>
          <w:rFonts w:ascii="Arial" w:hAnsi="Arial" w:cs="Arial"/>
          <w:sz w:val="24"/>
          <w:szCs w:val="24"/>
        </w:rPr>
        <w:t>Rada dydaktyczna analizuje przebieg i wyniki sesji egzaminacyjnej na podstawie sprawozdania KJD najpóźniej na 2 miesiące po zakończeniu sesji poprawkowej.</w:t>
      </w:r>
    </w:p>
    <w:p w:rsidR="004C0305" w:rsidRPr="00127E1E" w:rsidRDefault="004C0305" w:rsidP="004C0305">
      <w:pPr>
        <w:ind w:left="360"/>
        <w:jc w:val="both"/>
        <w:rPr>
          <w:rFonts w:ascii="Arial" w:hAnsi="Arial" w:cs="Arial"/>
          <w:sz w:val="24"/>
          <w:szCs w:val="24"/>
        </w:rPr>
      </w:pPr>
    </w:p>
    <w:p w:rsidR="004C0305" w:rsidRPr="00127E1E" w:rsidRDefault="004C0305" w:rsidP="004C0305">
      <w:pPr>
        <w:jc w:val="center"/>
        <w:rPr>
          <w:rFonts w:ascii="Arial" w:hAnsi="Arial" w:cs="Arial"/>
          <w:sz w:val="24"/>
          <w:szCs w:val="24"/>
        </w:rPr>
      </w:pPr>
      <w:r w:rsidRPr="00127E1E">
        <w:rPr>
          <w:rFonts w:ascii="Arial" w:hAnsi="Arial" w:cs="Arial"/>
          <w:sz w:val="24"/>
          <w:szCs w:val="24"/>
        </w:rPr>
        <w:t>§ 7</w:t>
      </w:r>
    </w:p>
    <w:p w:rsidR="004C0305" w:rsidRPr="00127E1E" w:rsidRDefault="004C0305" w:rsidP="004C0305">
      <w:pPr>
        <w:jc w:val="both"/>
        <w:rPr>
          <w:rFonts w:ascii="Arial" w:hAnsi="Arial" w:cs="Arial"/>
          <w:sz w:val="24"/>
          <w:szCs w:val="24"/>
        </w:rPr>
      </w:pPr>
      <w:r w:rsidRPr="00127E1E">
        <w:rPr>
          <w:rFonts w:ascii="Arial" w:hAnsi="Arial" w:cs="Arial"/>
          <w:sz w:val="24"/>
          <w:szCs w:val="24"/>
        </w:rPr>
        <w:t>Uchwała wchodzi w życie z dniem podjęcia.</w:t>
      </w:r>
    </w:p>
    <w:p w:rsidR="004C0305" w:rsidRPr="00127E1E" w:rsidRDefault="004C0305" w:rsidP="004C0305">
      <w:pPr>
        <w:jc w:val="both"/>
        <w:rPr>
          <w:rFonts w:ascii="Arial" w:hAnsi="Arial" w:cs="Arial"/>
          <w:sz w:val="24"/>
          <w:szCs w:val="24"/>
        </w:rPr>
      </w:pPr>
    </w:p>
    <w:p w:rsidR="00950856" w:rsidRPr="007479A0" w:rsidRDefault="004C0305" w:rsidP="007479A0">
      <w:pPr>
        <w:jc w:val="right"/>
        <w:rPr>
          <w:rFonts w:ascii="Arial" w:hAnsi="Arial" w:cs="Arial"/>
          <w:sz w:val="24"/>
          <w:szCs w:val="24"/>
        </w:rPr>
      </w:pPr>
      <w:r w:rsidRPr="00127E1E">
        <w:rPr>
          <w:rFonts w:ascii="Arial" w:hAnsi="Arial" w:cs="Arial"/>
          <w:sz w:val="24"/>
          <w:szCs w:val="24"/>
        </w:rPr>
        <w:t xml:space="preserve">Przewodnicząca </w:t>
      </w:r>
      <w:r w:rsidRPr="00127E1E">
        <w:rPr>
          <w:rFonts w:ascii="Arial" w:hAnsi="Arial" w:cs="Arial"/>
          <w:sz w:val="24"/>
          <w:szCs w:val="24"/>
          <w:lang w:eastAsia="pl-PL"/>
        </w:rPr>
        <w:t>rady dydaktycznej</w:t>
      </w:r>
      <w:r w:rsidRPr="00127E1E">
        <w:rPr>
          <w:rFonts w:ascii="Arial" w:hAnsi="Arial" w:cs="Arial"/>
          <w:sz w:val="24"/>
          <w:szCs w:val="24"/>
        </w:rPr>
        <w:t>: M. Widy-</w:t>
      </w:r>
      <w:proofErr w:type="spellStart"/>
      <w:r w:rsidRPr="00127E1E">
        <w:rPr>
          <w:rFonts w:ascii="Arial" w:hAnsi="Arial" w:cs="Arial"/>
          <w:sz w:val="24"/>
          <w:szCs w:val="24"/>
        </w:rPr>
        <w:t>Behiesse</w:t>
      </w:r>
      <w:proofErr w:type="spellEnd"/>
    </w:p>
    <w:sectPr w:rsidR="00950856" w:rsidRPr="007479A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E38" w:rsidRDefault="009E2E38" w:rsidP="00986E15">
      <w:pPr>
        <w:spacing w:after="0" w:line="240" w:lineRule="auto"/>
      </w:pPr>
      <w:r>
        <w:separator/>
      </w:r>
    </w:p>
  </w:endnote>
  <w:endnote w:type="continuationSeparator" w:id="0">
    <w:p w:rsidR="009E2E38" w:rsidRDefault="009E2E38" w:rsidP="00986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E38" w:rsidRDefault="009E2E38" w:rsidP="00986E15">
      <w:pPr>
        <w:spacing w:after="0" w:line="240" w:lineRule="auto"/>
      </w:pPr>
      <w:r>
        <w:separator/>
      </w:r>
    </w:p>
  </w:footnote>
  <w:footnote w:type="continuationSeparator" w:id="0">
    <w:p w:rsidR="009E2E38" w:rsidRDefault="009E2E38" w:rsidP="00986E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E15" w:rsidRDefault="004E4C5C">
    <w:pPr>
      <w:pStyle w:val="Header"/>
    </w:pPr>
    <w:r>
      <w:rPr>
        <w:noProof/>
        <w:lang w:eastAsia="pl-PL"/>
      </w:rPr>
      <w:drawing>
        <wp:inline distT="0" distB="0" distL="0" distR="0" wp14:anchorId="2C918ACC" wp14:editId="66868B66">
          <wp:extent cx="5760720" cy="951865"/>
          <wp:effectExtent l="0" t="0" r="0" b="63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munikacja międzykulturow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95186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61B06"/>
    <w:multiLevelType w:val="hybridMultilevel"/>
    <w:tmpl w:val="630E94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D4E73FE"/>
    <w:multiLevelType w:val="hybridMultilevel"/>
    <w:tmpl w:val="5FD045E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282611"/>
    <w:multiLevelType w:val="hybridMultilevel"/>
    <w:tmpl w:val="DEE21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0F1607"/>
    <w:multiLevelType w:val="hybridMultilevel"/>
    <w:tmpl w:val="854411FA"/>
    <w:lvl w:ilvl="0" w:tplc="0415000F">
      <w:start w:val="1"/>
      <w:numFmt w:val="decimal"/>
      <w:lvlText w:val="%1."/>
      <w:lvlJc w:val="left"/>
      <w:pPr>
        <w:ind w:left="720" w:hanging="360"/>
      </w:pPr>
    </w:lvl>
    <w:lvl w:ilvl="1" w:tplc="295C024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C984BB7"/>
    <w:multiLevelType w:val="hybridMultilevel"/>
    <w:tmpl w:val="22E4E1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250"/>
    <w:rsid w:val="00015E28"/>
    <w:rsid w:val="00052D1D"/>
    <w:rsid w:val="000C5BDE"/>
    <w:rsid w:val="00120E51"/>
    <w:rsid w:val="0024728B"/>
    <w:rsid w:val="002D6250"/>
    <w:rsid w:val="004C0305"/>
    <w:rsid w:val="004E4C5C"/>
    <w:rsid w:val="006668D7"/>
    <w:rsid w:val="006825EE"/>
    <w:rsid w:val="007479A0"/>
    <w:rsid w:val="007E2510"/>
    <w:rsid w:val="00950856"/>
    <w:rsid w:val="00986E15"/>
    <w:rsid w:val="009E2E38"/>
    <w:rsid w:val="00A016D8"/>
    <w:rsid w:val="00B8189F"/>
    <w:rsid w:val="00B965C4"/>
    <w:rsid w:val="00EA5C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0D81C2FE-C624-469D-82BF-50221CE82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3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E15"/>
    <w:pPr>
      <w:tabs>
        <w:tab w:val="center" w:pos="4536"/>
        <w:tab w:val="right" w:pos="9072"/>
      </w:tabs>
      <w:spacing w:after="0" w:line="240" w:lineRule="auto"/>
    </w:pPr>
  </w:style>
  <w:style w:type="character" w:customStyle="1" w:styleId="HeaderChar">
    <w:name w:val="Header Char"/>
    <w:basedOn w:val="DefaultParagraphFont"/>
    <w:link w:val="Header"/>
    <w:uiPriority w:val="99"/>
    <w:rsid w:val="00986E15"/>
  </w:style>
  <w:style w:type="paragraph" w:styleId="Footer">
    <w:name w:val="footer"/>
    <w:basedOn w:val="Normal"/>
    <w:link w:val="FooterChar"/>
    <w:uiPriority w:val="99"/>
    <w:unhideWhenUsed/>
    <w:rsid w:val="00986E15"/>
    <w:pPr>
      <w:tabs>
        <w:tab w:val="center" w:pos="4536"/>
        <w:tab w:val="right" w:pos="9072"/>
      </w:tabs>
      <w:spacing w:after="0" w:line="240" w:lineRule="auto"/>
    </w:pPr>
  </w:style>
  <w:style w:type="character" w:customStyle="1" w:styleId="FooterChar">
    <w:name w:val="Footer Char"/>
    <w:basedOn w:val="DefaultParagraphFont"/>
    <w:link w:val="Footer"/>
    <w:uiPriority w:val="99"/>
    <w:rsid w:val="00986E15"/>
  </w:style>
  <w:style w:type="paragraph" w:styleId="BalloonText">
    <w:name w:val="Balloon Text"/>
    <w:basedOn w:val="Normal"/>
    <w:link w:val="BalloonTextChar"/>
    <w:uiPriority w:val="99"/>
    <w:semiHidden/>
    <w:unhideWhenUsed/>
    <w:rsid w:val="00120E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E51"/>
    <w:rPr>
      <w:rFonts w:ascii="Tahoma" w:hAnsi="Tahoma" w:cs="Tahoma"/>
      <w:sz w:val="16"/>
      <w:szCs w:val="16"/>
    </w:rPr>
  </w:style>
  <w:style w:type="paragraph" w:styleId="ListParagraph">
    <w:name w:val="List Paragraph"/>
    <w:basedOn w:val="Normal"/>
    <w:qFormat/>
    <w:rsid w:val="004C0305"/>
    <w:pPr>
      <w:ind w:left="720"/>
      <w:contextualSpacing/>
    </w:pPr>
  </w:style>
  <w:style w:type="paragraph" w:customStyle="1" w:styleId="Tre">
    <w:name w:val="Treść"/>
    <w:rsid w:val="007479A0"/>
    <w:pPr>
      <w:pBdr>
        <w:top w:val="nil"/>
        <w:left w:val="nil"/>
        <w:bottom w:val="nil"/>
        <w:right w:val="nil"/>
        <w:between w:val="nil"/>
        <w:bar w:val="nil"/>
      </w:pBdr>
    </w:pPr>
    <w:rPr>
      <w:rFonts w:ascii="Calibri" w:eastAsia="Calibri" w:hAnsi="Calibri" w:cs="Calibri"/>
      <w:color w:val="000000"/>
      <w:u w:color="000000"/>
      <w:bdr w:val="ni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733</Words>
  <Characters>4400</Characters>
  <Application>Microsoft Office Word</Application>
  <DocSecurity>0</DocSecurity>
  <Lines>36</Lines>
  <Paragraphs>10</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5123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 Ignatowicz-Bocian</dc:creator>
  <cp:lastModifiedBy>Monika Zeman</cp:lastModifiedBy>
  <cp:revision>6</cp:revision>
  <dcterms:created xsi:type="dcterms:W3CDTF">2020-11-16T15:32:00Z</dcterms:created>
  <dcterms:modified xsi:type="dcterms:W3CDTF">2020-11-30T14:29:00Z</dcterms:modified>
</cp:coreProperties>
</file>